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pPr>
      <w:r w:rsidDel="00000000" w:rsidR="00000000" w:rsidRPr="00000000">
        <w:rPr>
          <w:rtl w:val="0"/>
        </w:rPr>
      </w:r>
    </w:p>
    <w:tbl>
      <w:tblPr>
        <w:tblStyle w:val="Table1"/>
        <w:bidi w:val="0"/>
        <w:tblW w:w="28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00"/>
        <w:tblGridChange w:id="0">
          <w:tblGrid>
            <w:gridCol w:w="28800"/>
          </w:tblGrid>
        </w:tblGridChange>
      </w:tblGrid>
      <w:tr>
        <w:tc>
          <w:tcPr>
            <w:shd w:fill="f4b29b"/>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shd w:fill="d34817"/>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shd w:fill="918485"/>
            <w:vAlign w:val="center"/>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Verdana" w:cs="Verdana" w:eastAsia="Verdana" w:hAnsi="Verdana"/>
          <w:color w:val="9e3511"/>
          <w:sz w:val="28"/>
          <w:szCs w:val="28"/>
          <w:rtl w:val="0"/>
        </w:rPr>
        <w:t xml:space="preserve">Visjonsarbeid</w:t>
      </w:r>
    </w:p>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sz w:val="24"/>
          <w:szCs w:val="24"/>
          <w:rtl w:val="0"/>
        </w:rPr>
        <w:t xml:space="preserve">Utarbeidinga av verdi- og visjonsgrunnlaget til Dirdal skole har vore ein prosess der elevar, føresette og tilsette har medverka. Arbeidet blei starta hausten 2012 og grunnlagsdokumenta blei ferdigstilt våren 2016. Visjonen «Lærerikt felleskap» og verdiane Respekt, Inspirasjon, Kvalitet og Trivsel (RIKT) skal vere ramma for skolekvardagen.</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Verdana" w:cs="Verdana" w:eastAsia="Verdana" w:hAnsi="Verdana"/>
          <w:color w:val="9e3511"/>
          <w:sz w:val="28"/>
          <w:szCs w:val="28"/>
          <w:rtl w:val="0"/>
        </w:rPr>
        <w:t xml:space="preserve">Lærerikt fellesskap</w:t>
      </w:r>
    </w:p>
    <w:p w:rsidR="00000000" w:rsidDel="00000000" w:rsidP="00000000" w:rsidRDefault="00000000" w:rsidRPr="00000000">
      <w:pPr>
        <w:spacing w:after="200" w:before="0" w:line="276" w:lineRule="auto"/>
        <w:contextualSpacing w:val="0"/>
      </w:pPr>
      <w:r w:rsidDel="00000000" w:rsidR="00000000" w:rsidRPr="00000000">
        <w:rPr>
          <w:rFonts w:ascii="Verdana" w:cs="Verdana" w:eastAsia="Verdana" w:hAnsi="Verdana"/>
          <w:sz w:val="24"/>
          <w:szCs w:val="24"/>
          <w:rtl w:val="0"/>
        </w:rPr>
        <w:t xml:space="preserve">På Dirdal skole ønskjer me at både læring og felles opplevingar skal stå i sentrum. Opplæringa skal opne dørar mot verda, og elevane skal rustast for å kunne møte ei ukjend og mangfaldig framtid. Dei skal fungere individuelt og i samspel med andre, tileigne seg viktige kompetansar og  utvikle evna til kritisk tenkning og refleksjon. Læringsmiljøet speler ei viktig rolle både for kva elevane lærer seg, og for utvikling av elevane sitt sjølvbilete. På Dirdal skole skal alle elevar bli verdsett og oppleve meistring. For å fremme kreativitet og innovasjon, må læringsmiljøet vere </w:t>
      </w:r>
      <w:r w:rsidDel="00000000" w:rsidR="00000000" w:rsidRPr="00000000">
        <w:rPr>
          <w:rFonts w:ascii="Verdana" w:cs="Verdana" w:eastAsia="Verdana" w:hAnsi="Verdana"/>
          <w:sz w:val="24"/>
          <w:szCs w:val="24"/>
          <w:rtl w:val="0"/>
        </w:rPr>
        <w:t xml:space="preserve">prega av tryggleik og forståing for at det å gjere feil kan vere positivt.</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Verdana" w:cs="Verdana" w:eastAsia="Verdana" w:hAnsi="Verdana"/>
          <w:color w:val="9e3511"/>
          <w:sz w:val="28"/>
          <w:szCs w:val="28"/>
          <w:rtl w:val="0"/>
        </w:rPr>
        <w:t xml:space="preserve">RIKT</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Verdana" w:cs="Verdana" w:eastAsia="Verdana" w:hAnsi="Verdana"/>
          <w:sz w:val="24"/>
          <w:szCs w:val="24"/>
          <w:rtl w:val="0"/>
        </w:rPr>
        <w:t xml:space="preserve">Verdiane til Dirdal skole er: Respekt, Inspirasjon, Kvalitet og Trivsel. Vi har valt å lage eigne grunnlagsdokument til elevar, tilsette og føresette. Desse dokumenta er forventningar til dei enkelte gruppene. Skolen forpliktar seg til å jobbe med verdiane, slik at dei blir ein del av kvardagen.</w:t>
      </w:r>
      <w:r w:rsidDel="00000000" w:rsidR="00000000" w:rsidRPr="00000000">
        <w:rPr>
          <w:rtl w:val="0"/>
        </w:rPr>
      </w:r>
    </w:p>
    <w:sectPr>
      <w:headerReference r:id="rId5" w:type="default"/>
      <w:footerReference r:id="rId6" w:type="default"/>
      <w:pgSz w:h="16839" w:w="11907"/>
      <w:pgMar w:bottom="1418" w:top="1418" w:left="1418" w:right="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Libre Baskerville">
    <w:embedRegular w:fontKey="{00000000-0000-0000-0000-000000000000}" r:id="rId1" w:subsetted="0"/>
    <w:embedBold w:fontKey="{00000000-0000-0000-0000-000000000000}" r:id="rId2" w:subsetted="0"/>
    <w:embedItalic w:fontKey="{00000000-0000-0000-0000-000000000000}" r:id="rId3" w:subsetted="0"/>
  </w:font>
  <w:font w:name="Source Sans Pr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mc:AlternateContent>
        <mc:Choice Requires="wpg">
          <w:drawing>
            <wp:inline distB="0" distT="0" distL="114300" distR="114300">
              <wp:extent cx="520700" cy="520700"/>
              <wp:effectExtent b="0" l="0" r="0" t="0"/>
              <wp:docPr id="1" name=""/>
              <a:graphic>
                <a:graphicData uri="http://schemas.microsoft.com/office/word/2010/wordprocessingShape">
                  <wps:wsp>
                    <wps:cNvSpPr/>
                    <wps:cNvPr id="2" name="Shape 2"/>
                    <wps:spPr>
                      <a:xfrm>
                        <a:off x="5085650" y="3519650"/>
                        <a:ext cx="520700" cy="520700"/>
                      </a:xfrm>
                      <a:prstGeom prst="ellipse">
                        <a:avLst/>
                      </a:prstGeom>
                      <a:solidFill>
                        <a:srgbClr val="D3471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0" rIns="0" tIns="0"/>
                  </wps:wsp>
                </a:graphicData>
              </a:graphic>
            </wp:inline>
          </w:drawing>
        </mc:Choice>
        <mc:Fallback>
          <w:drawing>
            <wp:inline distB="0" distT="0" distL="114300" distR="114300">
              <wp:extent cx="520700" cy="5207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20700" cy="520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center" w:pos="4320"/>
        <w:tab w:val="right" w:pos="8640"/>
      </w:tabs>
      <w:spacing w:after="709" w:before="0" w:line="276"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Verdana" w:cs="Verdana" w:eastAsia="Verdana" w:hAnsi="Verdana"/>
        <w:b w:val="1"/>
        <w:sz w:val="36"/>
        <w:szCs w:val="36"/>
        <w:rtl w:val="0"/>
      </w:rPr>
      <w:t xml:space="preserve">Dirdal skole</w:t>
    </w:r>
  </w:p>
  <w:p w:rsidR="00000000" w:rsidDel="00000000" w:rsidP="00000000" w:rsidRDefault="00000000" w:rsidRPr="00000000">
    <w:pPr>
      <w:contextualSpacing w:val="0"/>
      <w:jc w:val="center"/>
    </w:pPr>
    <w:r w:rsidDel="00000000" w:rsidR="00000000" w:rsidRPr="00000000">
      <w:rPr>
        <w:rFonts w:ascii="Verdana" w:cs="Verdana" w:eastAsia="Verdana" w:hAnsi="Verdana"/>
        <w:b w:val="1"/>
        <w:sz w:val="36"/>
        <w:szCs w:val="36"/>
        <w:rtl w:val="0"/>
      </w:rPr>
      <w:t xml:space="preserve">LÆRERIKT FELLESKAP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re Baskerville" w:cs="Libre Baskerville" w:eastAsia="Libre Baskerville" w:hAnsi="Libre Baskerville"/>
        <w:b w:val="0"/>
        <w:i w:val="0"/>
        <w:smallCaps w:val="0"/>
        <w:strike w:val="0"/>
        <w:color w:val="000000"/>
        <w:sz w:val="22"/>
        <w:szCs w:val="22"/>
        <w:u w:val="none"/>
        <w:vertAlign w:val="baseline"/>
      </w:rPr>
    </w:rPrDefault>
    <w:pPrDefault>
      <w:pPr>
        <w:keepNext w:val="0"/>
        <w:keepLines w:val="0"/>
        <w:widowControl w:val="1"/>
        <w:spacing w:after="16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00" w:line="240" w:lineRule="auto"/>
    </w:pPr>
    <w:rPr>
      <w:rFonts w:ascii="Source Sans Pro" w:cs="Source Sans Pro" w:eastAsia="Source Sans Pro" w:hAnsi="Source Sans Pro"/>
      <w:b w:val="1"/>
      <w:color w:val="9e3511"/>
      <w:sz w:val="28"/>
      <w:szCs w:val="28"/>
    </w:rPr>
  </w:style>
  <w:style w:type="paragraph" w:styleId="Heading2">
    <w:name w:val="heading 2"/>
    <w:basedOn w:val="Normal"/>
    <w:next w:val="Normal"/>
    <w:pPr>
      <w:keepNext w:val="1"/>
      <w:keepLines w:val="1"/>
      <w:spacing w:after="40" w:before="240" w:line="240" w:lineRule="auto"/>
    </w:pPr>
    <w:rPr>
      <w:rFonts w:ascii="Source Sans Pro" w:cs="Source Sans Pro" w:eastAsia="Source Sans Pro" w:hAnsi="Source Sans Pro"/>
      <w:b w:val="1"/>
      <w:color w:val="9e3511"/>
      <w:sz w:val="24"/>
      <w:szCs w:val="24"/>
    </w:rPr>
  </w:style>
  <w:style w:type="paragraph" w:styleId="Heading3">
    <w:name w:val="heading 3"/>
    <w:basedOn w:val="Normal"/>
    <w:next w:val="Normal"/>
    <w:pPr>
      <w:keepNext w:val="1"/>
      <w:keepLines w:val="1"/>
      <w:spacing w:after="40" w:before="200" w:line="240" w:lineRule="auto"/>
    </w:pPr>
    <w:rPr>
      <w:rFonts w:ascii="Source Sans Pro" w:cs="Source Sans Pro" w:eastAsia="Source Sans Pro" w:hAnsi="Source Sans Pro"/>
      <w:b w:val="1"/>
      <w:color w:val="d34817"/>
      <w:sz w:val="24"/>
      <w:szCs w:val="24"/>
    </w:rPr>
  </w:style>
  <w:style w:type="paragraph" w:styleId="Heading4">
    <w:name w:val="heading 4"/>
    <w:basedOn w:val="Normal"/>
    <w:next w:val="Normal"/>
    <w:pPr>
      <w:keepNext w:val="1"/>
      <w:keepLines w:val="1"/>
      <w:spacing w:after="0" w:before="240" w:line="276" w:lineRule="auto"/>
    </w:pPr>
    <w:rPr>
      <w:rFonts w:ascii="Source Sans Pro" w:cs="Source Sans Pro" w:eastAsia="Source Sans Pro" w:hAnsi="Source Sans Pro"/>
      <w:b w:val="1"/>
      <w:color w:val="7b6b4d"/>
      <w:sz w:val="24"/>
      <w:szCs w:val="24"/>
    </w:rPr>
  </w:style>
  <w:style w:type="paragraph" w:styleId="Heading5">
    <w:name w:val="heading 5"/>
    <w:basedOn w:val="Normal"/>
    <w:next w:val="Normal"/>
    <w:pPr>
      <w:keepNext w:val="1"/>
      <w:keepLines w:val="1"/>
      <w:spacing w:after="0" w:before="200" w:line="276" w:lineRule="auto"/>
    </w:pPr>
    <w:rPr>
      <w:rFonts w:ascii="Source Sans Pro" w:cs="Source Sans Pro" w:eastAsia="Source Sans Pro" w:hAnsi="Source Sans Pro"/>
      <w:b w:val="1"/>
      <w:i w:val="1"/>
      <w:color w:val="7b6b4d"/>
      <w:sz w:val="22"/>
      <w:szCs w:val="22"/>
    </w:rPr>
  </w:style>
  <w:style w:type="paragraph" w:styleId="Heading6">
    <w:name w:val="heading 6"/>
    <w:basedOn w:val="Normal"/>
    <w:next w:val="Normal"/>
    <w:pPr>
      <w:keepNext w:val="1"/>
      <w:keepLines w:val="1"/>
      <w:spacing w:after="0" w:before="200" w:line="276" w:lineRule="auto"/>
    </w:pPr>
    <w:rPr>
      <w:rFonts w:ascii="Source Sans Pro" w:cs="Source Sans Pro" w:eastAsia="Source Sans Pro" w:hAnsi="Source Sans Pro"/>
      <w:b w:val="0"/>
      <w:color w:val="524733"/>
      <w:sz w:val="24"/>
      <w:szCs w:val="24"/>
    </w:rPr>
  </w:style>
  <w:style w:type="paragraph" w:styleId="Title">
    <w:name w:val="Title"/>
    <w:basedOn w:val="Normal"/>
    <w:next w:val="Normal"/>
    <w:pPr>
      <w:keepNext w:val="1"/>
      <w:keepLines w:val="1"/>
      <w:spacing w:after="160" w:before="0" w:line="240" w:lineRule="auto"/>
      <w:jc w:val="center"/>
    </w:pPr>
    <w:rPr>
      <w:rFonts w:ascii="Source Sans Pro" w:cs="Source Sans Pro" w:eastAsia="Source Sans Pro" w:hAnsi="Source Sans Pro"/>
      <w:b w:val="1"/>
      <w:smallCaps w:val="1"/>
      <w:color w:val="d34817"/>
      <w:sz w:val="48"/>
      <w:szCs w:val="48"/>
    </w:rPr>
  </w:style>
  <w:style w:type="paragraph" w:styleId="Subtitle">
    <w:name w:val="Subtitle"/>
    <w:basedOn w:val="Normal"/>
    <w:next w:val="Normal"/>
    <w:pPr>
      <w:keepNext w:val="1"/>
      <w:keepLines w:val="1"/>
      <w:spacing w:after="480" w:before="0" w:line="240" w:lineRule="auto"/>
      <w:jc w:val="center"/>
    </w:pPr>
    <w:rPr>
      <w:rFonts w:ascii="Source Sans Pro" w:cs="Source Sans Pro" w:eastAsia="Source Sans Pro" w:hAnsi="Source Sans Pro"/>
      <w:b w:val="0"/>
      <w:i w:val="1"/>
      <w:color w:val="666666"/>
      <w:sz w:val="28"/>
      <w:szCs w:val="28"/>
    </w:rPr>
  </w:style>
  <w:style w:type="table" w:styleId="Table1">
    <w:basedOn w:val="TableNormal"/>
    <w:pPr>
      <w:spacing w:after="0" w:line="240" w:lineRule="auto"/>
    </w:pPr>
    <w:rPr/>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SourceSansPro-regular.ttf"/><Relationship Id="rId5" Type="http://schemas.openxmlformats.org/officeDocument/2006/relationships/font" Target="fonts/SourceSansPro-bold.ttf"/><Relationship Id="rId6" Type="http://schemas.openxmlformats.org/officeDocument/2006/relationships/font" Target="fonts/SourceSansPro-italic.ttf"/><Relationship Id="rId7" Type="http://schemas.openxmlformats.org/officeDocument/2006/relationships/font" Target="fonts/SourceSansPr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01.png"/></Relationships>
</file>